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Pr="00046A1C" w:rsidRDefault="00CF73A7" w:rsidP="00046A1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046A1C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046A1C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Pr="00046A1C" w:rsidRDefault="00CF73A7" w:rsidP="00046A1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Pr="00046A1C" w:rsidRDefault="00CF73A7" w:rsidP="00046A1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46A1C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046A1C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046A1C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046A1C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046A1C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Pr="00046A1C" w:rsidRDefault="00CF73A7" w:rsidP="00046A1C">
      <w:pPr>
        <w:pStyle w:val="10"/>
        <w:shd w:val="clear" w:color="auto" w:fill="auto"/>
        <w:spacing w:after="267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46A1C" w:rsidRDefault="00CF73A7" w:rsidP="00046A1C">
      <w:pPr>
        <w:pStyle w:val="10"/>
        <w:shd w:val="clear" w:color="auto" w:fill="auto"/>
        <w:spacing w:after="267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9C67E2" w:rsidRPr="00046A1C">
        <w:rPr>
          <w:rFonts w:ascii="Arial" w:hAnsi="Arial" w:cs="Arial"/>
          <w:color w:val="000000" w:themeColor="text1"/>
          <w:sz w:val="20"/>
          <w:szCs w:val="20"/>
        </w:rPr>
        <w:t>2</w:t>
      </w:r>
      <w:r w:rsidR="00046A1C" w:rsidRPr="00046A1C">
        <w:rPr>
          <w:rFonts w:ascii="Arial" w:hAnsi="Arial" w:cs="Arial"/>
          <w:color w:val="000000" w:themeColor="text1"/>
          <w:sz w:val="20"/>
          <w:szCs w:val="20"/>
        </w:rPr>
        <w:t>6</w:t>
      </w:r>
      <w:r w:rsidR="007F70BB" w:rsidRPr="00046A1C">
        <w:rPr>
          <w:rFonts w:ascii="Arial" w:hAnsi="Arial" w:cs="Arial"/>
          <w:color w:val="000000" w:themeColor="text1"/>
          <w:sz w:val="20"/>
          <w:szCs w:val="20"/>
        </w:rPr>
        <w:t>-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Pr="00046A1C" w:rsidRDefault="00955223" w:rsidP="00046A1C">
      <w:pPr>
        <w:pStyle w:val="10"/>
        <w:shd w:val="clear" w:color="auto" w:fill="auto"/>
        <w:spacing w:after="267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 w:rsidRPr="00046A1C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 w:rsidRPr="00046A1C"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 w:rsidRPr="00046A1C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046A1C" w:rsidRPr="00046A1C" w:rsidRDefault="00CF73A7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046A1C" w:rsidRPr="00046A1C">
        <w:rPr>
          <w:rFonts w:ascii="Arial" w:hAnsi="Arial" w:cs="Arial"/>
          <w:b/>
          <w:color w:val="000000" w:themeColor="text1"/>
          <w:sz w:val="20"/>
          <w:szCs w:val="20"/>
        </w:rPr>
        <w:t>ОТНОСНО: Реда за водене на публичния регистър на жалбите и сигналите при произвеждане на избори за общински съветници и за кметове и за национален референдум на 25 октомври 2015 г.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На основание чл. 87,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ал. 1, т. 23 от Изборния кодекс и в изпълнение на Решение 1747-МИ от 03.09.2015 г. на ЦИК,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 ОИК - Бургас 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b/>
          <w:color w:val="000000" w:themeColor="text1"/>
          <w:sz w:val="20"/>
          <w:szCs w:val="20"/>
        </w:rPr>
        <w:t>Р Е Ш И: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1.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При постъпване на жалба срещу решение на ОИК-Бургас,  същата следва да бъде заведена във входящия регистър на комисията, като се отбелязва датата и часа на постъпването й. Датата и часа на постъпването и входящият номер на жалбата в регистъра се отбелязват и върху самата жалба, и върху копието на жалбоподателя.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2.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ОИК - Бургас създава и поддържа електронен регистър на жалбите при спазване на Закона за личните данни. Регистърът е публичен и се публикува на интернет-страницата на комисията.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В регистъра се вписват последователно постъпилите в ОИК-Бургас  жалби, като при попълване: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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>в колона 1 се отбелязва входящ номер, дата и час на постъпване на жалбата;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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>в колона 2 се отбелязват имената на жалбоподателя и организацията, която представлява;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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>в колона 3 се описва обжалваното решение, действие или бездействие на СИК или ОИК. Когато се обжалва решение на ОИК, се изписва точният му номер и се осигурява достъп към него (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хиперлинк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>);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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>в колона 4 се изписва номера  на решението на ОИК по жалбата срещу решение, действие или бездействие на СИК и се осигурява достъп до него (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хиперлинк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>);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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>в колона 5 се записва номера на решението на ЦИК по жалбата срещу решението на ОИК и се осигурява достъп до него (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хиперлинк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>);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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>в колона 6 се посочва номера на съдебното решение по решението на ЦИК, когато последното е обжалвано.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Веднага след постъпването на жалбата, цялата преписка по същата се 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комплектова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 и изпраща в ЦИК.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Предвид кратките срокове за обж</w:t>
      </w:r>
      <w:bookmarkStart w:id="1" w:name="_GoBack"/>
      <w:bookmarkEnd w:id="1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алване и 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роизнасяне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, жалбите и приложенията към тях се изпращат в сканирани копия на електронната поща на Централната избирателна комисия - 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cik@cik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bg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,  или по факс на ЦИК. Едновременно с това жалбата и приложенията се изпращат незабавно по куриер до ЦИК в оригинал, с 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придружително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 писмо. Към жалбата се прилагат:</w:t>
      </w:r>
    </w:p>
    <w:p w:rsid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 xml:space="preserve">Заверено копие от решението, което се обжалва, подписано от председателя и секретаря на ОИК-Бургас, съдържащо удостоверяване на дата и час на обявяване, 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съотв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. дата и час на сваляне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</w:t>
      </w:r>
      <w:r>
        <w:rPr>
          <w:rFonts w:ascii="Arial" w:hAnsi="Arial" w:cs="Arial"/>
          <w:color w:val="000000" w:themeColor="text1"/>
          <w:sz w:val="20"/>
          <w:szCs w:val="20"/>
        </w:rPr>
        <w:t>датата и часа на публикуването.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ab/>
        <w:t xml:space="preserve">Заверено копие от протокола от съответното заседание, подписано от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lastRenderedPageBreak/>
        <w:t>председател и секретар.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Пълномощното на лицето, което подава жалбата, когато тя се подава чрез пълномощник.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 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Писмените доказателства и други документи, приложени към жалбата.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обсъждани от ОИК-Бургас  при вземане на решението.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Когато се обжалват решенията за регистрации на 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застъпници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 следва да се изпраща копия и от заявленията и документите за регистрация, както и от страницата от съответния регистър с направеното в него вписвания.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комисия-Бургас е длъжна да изпрати незабавно и всички допълнително изискани ЦИК материали и книжа.</w:t>
      </w:r>
    </w:p>
    <w:p w:rsidR="00046A1C" w:rsidRPr="00046A1C" w:rsidRDefault="00046A1C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Решението подлежи на обжалване, на </w:t>
      </w: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</w:rPr>
        <w:t>осн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ч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л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88 от ИК 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>пред Централната избирателна комисия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46A1C">
        <w:rPr>
          <w:rFonts w:ascii="Arial" w:hAnsi="Arial" w:cs="Arial"/>
          <w:color w:val="000000" w:themeColor="text1"/>
          <w:sz w:val="20"/>
          <w:szCs w:val="20"/>
        </w:rPr>
        <w:t xml:space="preserve"> в тридневен срок от обявяването му.</w:t>
      </w:r>
    </w:p>
    <w:p w:rsidR="009C67E2" w:rsidRPr="00046A1C" w:rsidRDefault="009C67E2" w:rsidP="00046A1C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851"/>
        <w:rPr>
          <w:rFonts w:ascii="Arial" w:hAnsi="Arial" w:cs="Arial"/>
          <w:sz w:val="20"/>
          <w:szCs w:val="20"/>
        </w:rPr>
      </w:pPr>
    </w:p>
    <w:p w:rsidR="00CF73A7" w:rsidRPr="00046A1C" w:rsidRDefault="009C67E2" w:rsidP="00046A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sz w:val="20"/>
          <w:szCs w:val="20"/>
        </w:rPr>
        <w:t xml:space="preserve">            </w:t>
      </w:r>
      <w:r w:rsidR="00CF73A7" w:rsidRPr="00046A1C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Pr="00046A1C" w:rsidRDefault="00CF73A7" w:rsidP="00046A1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Pr="00046A1C" w:rsidRDefault="00CF73A7" w:rsidP="00046A1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46A1C" w:rsidRDefault="00CF73A7" w:rsidP="00046A1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46A1C" w:rsidRDefault="00CF73A7" w:rsidP="00046A1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46A1C" w:rsidRDefault="00CF73A7" w:rsidP="00046A1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Pr="00046A1C" w:rsidRDefault="00CF73A7" w:rsidP="00046A1C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 w:rsidRPr="00046A1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 w:rsidRPr="00046A1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Pr="00046A1C" w:rsidRDefault="00CF73A7" w:rsidP="00046A1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046A1C" w:rsidRDefault="0027727A" w:rsidP="00046A1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Pr="00046A1C" w:rsidRDefault="0027727A" w:rsidP="00046A1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Pr="00046A1C" w:rsidRDefault="00CF73A7" w:rsidP="00046A1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Pr="00046A1C" w:rsidRDefault="00CF73A7" w:rsidP="00046A1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Членове ОИК Бургас</w:t>
      </w:r>
    </w:p>
    <w:p w:rsidR="00CF73A7" w:rsidRPr="00046A1C" w:rsidRDefault="00CF73A7" w:rsidP="00046A1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Pr="00046A1C" w:rsidRDefault="00CF73A7" w:rsidP="00046A1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Pr="00046A1C" w:rsidRDefault="00CF73A7" w:rsidP="00046A1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46A1C" w:rsidRDefault="00CF73A7" w:rsidP="00046A1C">
      <w:pPr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Pr="00046A1C" w:rsidRDefault="00CF73A7" w:rsidP="00046A1C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CF73A7" w:rsidRPr="00046A1C" w:rsidRDefault="00CF73A7" w:rsidP="00046A1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Членове ОИК Бургас</w:t>
      </w:r>
    </w:p>
    <w:p w:rsidR="00CF73A7" w:rsidRPr="00046A1C" w:rsidRDefault="00CF73A7" w:rsidP="00046A1C">
      <w:pPr>
        <w:pStyle w:val="Defaul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1…………………………………</w:t>
      </w:r>
      <w:r w:rsidR="00DC5EDB" w:rsidRPr="00046A1C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                </w:t>
      </w:r>
      <w:r w:rsidRPr="00046A1C">
        <w:rPr>
          <w:rFonts w:ascii="Arial" w:hAnsi="Arial" w:cs="Arial"/>
          <w:iCs/>
          <w:color w:val="000000" w:themeColor="text1"/>
          <w:sz w:val="20"/>
          <w:szCs w:val="20"/>
        </w:rPr>
        <w:t>2. …………………………</w:t>
      </w:r>
    </w:p>
    <w:p w:rsidR="00AE4F86" w:rsidRPr="00046A1C" w:rsidRDefault="00AE4F86" w:rsidP="00046A1C">
      <w:pPr>
        <w:rPr>
          <w:lang w:val="en-US"/>
        </w:rPr>
      </w:pPr>
    </w:p>
    <w:p w:rsidR="002E4AC4" w:rsidRPr="00046A1C" w:rsidRDefault="002E4AC4" w:rsidP="00046A1C">
      <w:pPr>
        <w:rPr>
          <w:rFonts w:ascii="Arial" w:hAnsi="Arial" w:cs="Arial"/>
          <w:sz w:val="20"/>
          <w:szCs w:val="20"/>
        </w:rPr>
      </w:pPr>
      <w:r w:rsidRPr="00046A1C">
        <w:rPr>
          <w:rFonts w:ascii="Arial" w:hAnsi="Arial" w:cs="Arial"/>
          <w:sz w:val="20"/>
          <w:szCs w:val="20"/>
        </w:rPr>
        <w:t>ММ</w:t>
      </w:r>
    </w:p>
    <w:sectPr w:rsidR="002E4AC4" w:rsidRPr="00046A1C" w:rsidSect="009C67E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D2836AD"/>
    <w:multiLevelType w:val="hybridMultilevel"/>
    <w:tmpl w:val="48B24252"/>
    <w:lvl w:ilvl="0" w:tplc="137A8E6C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1" w:hanging="360"/>
      </w:pPr>
    </w:lvl>
    <w:lvl w:ilvl="2" w:tplc="0402001B" w:tentative="1">
      <w:start w:val="1"/>
      <w:numFmt w:val="lowerRoman"/>
      <w:lvlText w:val="%3."/>
      <w:lvlJc w:val="right"/>
      <w:pPr>
        <w:ind w:left="3311" w:hanging="180"/>
      </w:pPr>
    </w:lvl>
    <w:lvl w:ilvl="3" w:tplc="0402000F" w:tentative="1">
      <w:start w:val="1"/>
      <w:numFmt w:val="decimal"/>
      <w:lvlText w:val="%4."/>
      <w:lvlJc w:val="left"/>
      <w:pPr>
        <w:ind w:left="4031" w:hanging="360"/>
      </w:pPr>
    </w:lvl>
    <w:lvl w:ilvl="4" w:tplc="04020019" w:tentative="1">
      <w:start w:val="1"/>
      <w:numFmt w:val="lowerLetter"/>
      <w:lvlText w:val="%5."/>
      <w:lvlJc w:val="left"/>
      <w:pPr>
        <w:ind w:left="4751" w:hanging="360"/>
      </w:pPr>
    </w:lvl>
    <w:lvl w:ilvl="5" w:tplc="0402001B" w:tentative="1">
      <w:start w:val="1"/>
      <w:numFmt w:val="lowerRoman"/>
      <w:lvlText w:val="%6."/>
      <w:lvlJc w:val="right"/>
      <w:pPr>
        <w:ind w:left="5471" w:hanging="180"/>
      </w:pPr>
    </w:lvl>
    <w:lvl w:ilvl="6" w:tplc="0402000F" w:tentative="1">
      <w:start w:val="1"/>
      <w:numFmt w:val="decimal"/>
      <w:lvlText w:val="%7."/>
      <w:lvlJc w:val="left"/>
      <w:pPr>
        <w:ind w:left="6191" w:hanging="360"/>
      </w:pPr>
    </w:lvl>
    <w:lvl w:ilvl="7" w:tplc="04020019" w:tentative="1">
      <w:start w:val="1"/>
      <w:numFmt w:val="lowerLetter"/>
      <w:lvlText w:val="%8."/>
      <w:lvlJc w:val="left"/>
      <w:pPr>
        <w:ind w:left="6911" w:hanging="360"/>
      </w:pPr>
    </w:lvl>
    <w:lvl w:ilvl="8" w:tplc="0402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A1C"/>
    <w:rsid w:val="00093E9A"/>
    <w:rsid w:val="00231349"/>
    <w:rsid w:val="0027727A"/>
    <w:rsid w:val="002E4AC4"/>
    <w:rsid w:val="004051B7"/>
    <w:rsid w:val="006363AB"/>
    <w:rsid w:val="006623E0"/>
    <w:rsid w:val="00726DDE"/>
    <w:rsid w:val="00772A95"/>
    <w:rsid w:val="007F70BB"/>
    <w:rsid w:val="00955223"/>
    <w:rsid w:val="009A3D69"/>
    <w:rsid w:val="009C67E2"/>
    <w:rsid w:val="00AE4F86"/>
    <w:rsid w:val="00B80D62"/>
    <w:rsid w:val="00CF461C"/>
    <w:rsid w:val="00CF73A7"/>
    <w:rsid w:val="00DC5EDB"/>
    <w:rsid w:val="00E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A17A-F236-435F-85F0-C96DCC19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dcterms:created xsi:type="dcterms:W3CDTF">2015-09-10T15:12:00Z</dcterms:created>
  <dcterms:modified xsi:type="dcterms:W3CDTF">2015-09-10T15:17:00Z</dcterms:modified>
</cp:coreProperties>
</file>